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4A02F" w14:textId="77777777" w:rsidR="004441E9" w:rsidRPr="00BA29F6" w:rsidRDefault="004441E9" w:rsidP="004441E9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color w:val="1F3864" w:themeColor="accent5" w:themeShade="80"/>
          <w:sz w:val="40"/>
          <w:szCs w:val="40"/>
          <w:lang w:val="sq-AL"/>
        </w:rPr>
      </w:pPr>
      <w:r w:rsidRPr="00BA29F6">
        <w:rPr>
          <w:rFonts w:ascii="Arial Narrow" w:hAnsi="Arial Narrow" w:cs="Arial"/>
          <w:b/>
          <w:caps/>
          <w:noProof/>
          <w:color w:val="1F3864" w:themeColor="accent5" w:themeShade="80"/>
          <w:sz w:val="40"/>
          <w:szCs w:val="40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0DB31CAA" wp14:editId="2B5F51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2030" cy="10020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9F6">
        <w:rPr>
          <w:rFonts w:ascii="Arial Narrow" w:hAnsi="Arial Narrow"/>
          <w:b/>
          <w:caps/>
          <w:color w:val="1F3864" w:themeColor="accent5" w:themeShade="80"/>
          <w:sz w:val="40"/>
          <w:u w:val="single"/>
          <w:lang w:val="sq-AL"/>
        </w:rPr>
        <w:t>DEKLARATË E PRIVATËSISË</w:t>
      </w:r>
    </w:p>
    <w:p w14:paraId="6261FE05" w14:textId="77777777" w:rsidR="004441E9" w:rsidRPr="00BA29F6" w:rsidRDefault="004441E9" w:rsidP="004441E9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1F3864" w:themeColor="accent5" w:themeShade="80"/>
          <w:sz w:val="26"/>
          <w:szCs w:val="26"/>
          <w:u w:val="single"/>
          <w:lang w:val="sq-AL"/>
        </w:rPr>
      </w:pPr>
      <w:r w:rsidRPr="00BA29F6">
        <w:rPr>
          <w:rFonts w:ascii="Arial Narrow" w:hAnsi="Arial Narrow" w:cs="Arial"/>
          <w:b/>
          <w:smallCaps/>
          <w:color w:val="1F3864" w:themeColor="accent5" w:themeShade="80"/>
          <w:sz w:val="26"/>
          <w:szCs w:val="26"/>
          <w:lang w:val="sq-AL"/>
        </w:rPr>
        <w:t xml:space="preserve">për qëllime të </w:t>
      </w:r>
    </w:p>
    <w:p w14:paraId="645AE293" w14:textId="20DCBCAE" w:rsidR="004441E9" w:rsidRPr="00BA29F6" w:rsidRDefault="004441E9" w:rsidP="004441E9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1F3864" w:themeColor="accent5" w:themeShade="80"/>
          <w:sz w:val="28"/>
          <w:szCs w:val="28"/>
          <w:u w:val="single"/>
          <w:lang w:val="sq-AL"/>
        </w:rPr>
      </w:pPr>
      <w:r w:rsidRPr="00BA29F6">
        <w:rPr>
          <w:rFonts w:ascii="Arial Narrow" w:hAnsi="Arial Narrow"/>
          <w:b/>
          <w:caps/>
          <w:color w:val="1F3864" w:themeColor="accent5" w:themeShade="80"/>
          <w:sz w:val="28"/>
          <w:u w:val="single"/>
          <w:lang w:val="sq-AL"/>
        </w:rPr>
        <w:t>përpunimit të të dhënave personale</w:t>
      </w:r>
      <w:r w:rsidRPr="00BA29F6">
        <w:rPr>
          <w:rFonts w:ascii="Arial Narrow" w:hAnsi="Arial Narrow" w:cs="Arial"/>
          <w:b/>
          <w:caps/>
          <w:color w:val="1F3864" w:themeColor="accent5" w:themeShade="80"/>
          <w:sz w:val="26"/>
          <w:szCs w:val="26"/>
          <w:u w:val="single"/>
          <w:lang w:val="sq-AL"/>
        </w:rPr>
        <w:t xml:space="preserve"> që ndërlidhen me shërbimet e komunikimit me radio nga misioni i bashkimit evropian për sundim të ligjit në kosovë </w:t>
      </w:r>
    </w:p>
    <w:p w14:paraId="09BDDD1E" w14:textId="77777777" w:rsidR="00191C05" w:rsidRPr="00BA29F6" w:rsidRDefault="00191C05" w:rsidP="00191C05">
      <w:pPr>
        <w:spacing w:after="0"/>
        <w:ind w:left="-284" w:right="-284"/>
        <w:rPr>
          <w:rFonts w:ascii="Arial" w:hAnsi="Arial" w:cs="Arial"/>
          <w:color w:val="1F3864" w:themeColor="accent5" w:themeShade="80"/>
          <w:sz w:val="2"/>
          <w:szCs w:val="4"/>
          <w:lang w:val="sq-AL"/>
        </w:rPr>
      </w:pPr>
    </w:p>
    <w:p w14:paraId="53D87A40" w14:textId="77777777" w:rsidR="00191C05" w:rsidRPr="00BA29F6" w:rsidRDefault="00191C05" w:rsidP="00191C05">
      <w:pPr>
        <w:spacing w:after="0"/>
        <w:ind w:left="-284" w:right="-284"/>
        <w:rPr>
          <w:rFonts w:ascii="Arial" w:hAnsi="Arial" w:cs="Arial"/>
          <w:color w:val="1F3864" w:themeColor="accent5" w:themeShade="80"/>
          <w:sz w:val="2"/>
          <w:szCs w:val="2"/>
          <w:lang w:val="sq-AL"/>
        </w:rPr>
      </w:pPr>
    </w:p>
    <w:p w14:paraId="32D6C57D" w14:textId="77777777" w:rsidR="00191C05" w:rsidRPr="00BA29F6" w:rsidRDefault="00191C05" w:rsidP="00191C05">
      <w:pPr>
        <w:spacing w:after="0"/>
        <w:ind w:right="-284"/>
        <w:rPr>
          <w:rFonts w:ascii="Arial" w:hAnsi="Arial" w:cs="Arial"/>
          <w:color w:val="1F3864" w:themeColor="accent5" w:themeShade="80"/>
          <w:sz w:val="2"/>
          <w:szCs w:val="2"/>
          <w:lang w:val="sq-AL"/>
        </w:rPr>
      </w:pPr>
    </w:p>
    <w:p w14:paraId="746316E3" w14:textId="77777777" w:rsidR="00191C05" w:rsidRPr="00BA29F6" w:rsidRDefault="00191C05" w:rsidP="00191C05">
      <w:pPr>
        <w:spacing w:after="0"/>
        <w:ind w:left="-284" w:right="-284"/>
        <w:rPr>
          <w:rFonts w:ascii="Arial" w:hAnsi="Arial" w:cs="Arial"/>
          <w:color w:val="1F3864" w:themeColor="accent5" w:themeShade="80"/>
          <w:sz w:val="10"/>
          <w:szCs w:val="10"/>
          <w:lang w:val="sq-A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BA29F6" w:rsidRPr="00BA29F6" w14:paraId="6648099C" w14:textId="77777777" w:rsidTr="000C1811">
        <w:tc>
          <w:tcPr>
            <w:tcW w:w="10207" w:type="dxa"/>
            <w:shd w:val="clear" w:color="auto" w:fill="E6E6E6"/>
          </w:tcPr>
          <w:p w14:paraId="1871F170" w14:textId="62912027" w:rsidR="004441E9" w:rsidRPr="00BA29F6" w:rsidRDefault="004441E9" w:rsidP="004441E9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HYRJE</w:t>
            </w:r>
          </w:p>
        </w:tc>
      </w:tr>
      <w:tr w:rsidR="00BA29F6" w:rsidRPr="00BA29F6" w14:paraId="6802D598" w14:textId="77777777" w:rsidTr="00C000DB">
        <w:trPr>
          <w:trHeight w:val="166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6D52" w14:textId="77777777" w:rsidR="00C36303" w:rsidRPr="00BA29F6" w:rsidRDefault="00C36303" w:rsidP="00C36303">
            <w:pPr>
              <w:pStyle w:val="NormalWeb"/>
              <w:spacing w:before="0" w:beforeAutospacing="0" w:after="0" w:afterAutospacing="0"/>
              <w:jc w:val="both"/>
              <w:rPr>
                <w:rStyle w:val="st1"/>
                <w:rFonts w:ascii="Arial Narrow" w:hAnsi="Arial Narrow" w:cs="Arial"/>
                <w:bCs/>
                <w:smallCaps/>
                <w:color w:val="1F3864" w:themeColor="accent5" w:themeShade="80"/>
                <w:sz w:val="6"/>
                <w:szCs w:val="21"/>
                <w:lang w:val="sq-AL"/>
              </w:rPr>
            </w:pPr>
          </w:p>
          <w:p w14:paraId="35BADFBC" w14:textId="77777777" w:rsidR="00C36303" w:rsidRPr="00BA29F6" w:rsidRDefault="00C36303" w:rsidP="00C36303">
            <w:pPr>
              <w:spacing w:after="0"/>
              <w:rPr>
                <w:b/>
                <w:color w:val="1F3864" w:themeColor="accent5" w:themeShade="80"/>
                <w:sz w:val="21"/>
                <w:lang w:eastAsia="en-GB"/>
              </w:rPr>
            </w:pPr>
            <w:r w:rsidRPr="00BA29F6">
              <w:rPr>
                <w:rFonts w:ascii="Arial Narrow" w:hAnsi="Arial Narrow" w:cs="Arial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>Mbrojta e privatësisë suaj, që përfshinë të dhënat tuaja personale, është tejet e rëndësishme për Bashkimin Evropian dhe Misionin e PPSM të Bashkimit Evropian për Sundim të Ligjit në Kosovë (më tej në tekst “</w:t>
            </w:r>
            <w:r w:rsidRPr="00BA29F6"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 xml:space="preserve">EULEX KOSOVA”). Me rastin e </w:t>
            </w:r>
            <w:r w:rsidRPr="00BA29F6">
              <w:rPr>
                <w:rFonts w:ascii="Arial Narrow" w:hAnsi="Arial Narrow" w:cs="Arial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>përpunimit të të dhënave personale ne pasqyrojmë dispozitat e Kartës për të Drejtat themelore të Bashkimit Evropian, dhe në veçanti dispozitat e nenit 8 të saj. Në këtë deklaratë të privatësisë shpjegohet mënyra e përpunimit të të dhënave tuaja nga Eulex Kosova për qëllimin për të cilin ato mblidhen dhe të drejtat tuaja si subjekt i të dhënave</w:t>
            </w:r>
            <w:r w:rsidRPr="00BA29F6"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 xml:space="preserve">. </w:t>
            </w:r>
          </w:p>
          <w:p w14:paraId="5D25F19B" w14:textId="77777777" w:rsidR="00C36303" w:rsidRPr="00BA29F6" w:rsidRDefault="00C36303" w:rsidP="00C36303">
            <w:pPr>
              <w:spacing w:after="0"/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</w:pPr>
          </w:p>
          <w:p w14:paraId="13B2BDFF" w14:textId="77777777" w:rsidR="00C36303" w:rsidRPr="00BA29F6" w:rsidRDefault="00C36303" w:rsidP="00C36303">
            <w:pPr>
              <w:spacing w:after="0"/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</w:pPr>
            <w:r w:rsidRPr="00BA29F6"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 xml:space="preserve">Të dhënat tuaja personale përpunohen në pajtim me parimet dhe dispozitat e përcaktuara në legjislacionin përkatës për mbrojtjen e të dhënave, që përfshinë Rregulloren (BE) 2018/1725 të Parlamentit Evropian dhe të Këshillit të datës 23 tetor 2018 për mbrojtjen e personave fizikë në lidhje me përpunimin e të dhënave personale nga ana e institucioneve, organeve, zyrave dhe agjencive të Bashkimit Evropian, dhe për lëvizjen e lirë të këtyre të dhënave, dhe shfuqizimin e Rregullores (KE) nr. 45/2001 dhe Vendimit nr. 1247/2002/EC që nga data 11 dhjetor 2018, e përafruar me dispozitat e Rregullores së përgjithshme për mbrojtjen e të dhënave (BE) 2016/679 dhe në pajtim me Udhëzimin CivOpsCdr 12-2018 dhe Procedurën Standarde të Operimit (PSO) të Eulex Kosova për mbrojtjen e të dhënave personale. </w:t>
            </w:r>
          </w:p>
          <w:p w14:paraId="4B2FAEB0" w14:textId="77777777" w:rsidR="00C36303" w:rsidRPr="00BA29F6" w:rsidRDefault="00C36303" w:rsidP="00C36303">
            <w:pPr>
              <w:spacing w:after="0"/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</w:pPr>
          </w:p>
          <w:p w14:paraId="7F4D619D" w14:textId="77777777" w:rsidR="00C36303" w:rsidRPr="00BA29F6" w:rsidRDefault="00C36303" w:rsidP="00C36303">
            <w:pPr>
              <w:spacing w:after="0"/>
              <w:rPr>
                <w:rFonts w:ascii="Arial Narrow" w:hAnsi="Arial Narrow"/>
                <w:bCs/>
                <w:smallCaps/>
                <w:color w:val="1F3864" w:themeColor="accent5" w:themeShade="80"/>
                <w:sz w:val="21"/>
                <w:szCs w:val="21"/>
                <w:lang w:val="sq-AL"/>
              </w:rPr>
            </w:pPr>
            <w:r w:rsidRPr="00BA29F6">
              <w:rPr>
                <w:rFonts w:ascii="Arial Narrow" w:hAnsi="Arial Narrow"/>
                <w:b/>
                <w:smallCaps/>
                <w:color w:val="1F3864" w:themeColor="accent5" w:themeShade="80"/>
                <w:sz w:val="21"/>
                <w:szCs w:val="21"/>
                <w:lang w:val="sq-AL" w:eastAsia="en-GB"/>
              </w:rPr>
              <w:t>Misioni ka për synim që mbrojtja e të dhënave të bëhet në pajtueshmëri të plotë me standardet e përcaktuara në kornizën e re juridike përmes përdorimit të instrumenteve fleksibile miqësore për privatësinë me mbrojtje të duhura. Të gjitha të dhënat e natyrës personale – përkatësisht të dhënat që mund të ju identifikojnë në mënyrë të drejtpërdrejtë apo të tërthortë – do të trajtohen në mënyrë të drejtë dhe të ligjshme me kujdesin e nevojshëm.</w:t>
            </w:r>
          </w:p>
          <w:p w14:paraId="56A6AF68" w14:textId="77777777" w:rsidR="00C36303" w:rsidRPr="00BA29F6" w:rsidRDefault="00C36303" w:rsidP="00C363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Cs/>
                <w:smallCaps/>
                <w:color w:val="1F3864" w:themeColor="accent5" w:themeShade="80"/>
                <w:sz w:val="2"/>
                <w:szCs w:val="21"/>
                <w:lang w:val="sq-AL"/>
              </w:rPr>
            </w:pPr>
          </w:p>
          <w:p w14:paraId="46D80349" w14:textId="53A40DDC" w:rsidR="00C36303" w:rsidRPr="00BA29F6" w:rsidRDefault="00C36303" w:rsidP="00C36303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mallCaps/>
                <w:color w:val="1F3864" w:themeColor="accent5" w:themeShade="80"/>
                <w:sz w:val="6"/>
                <w:szCs w:val="6"/>
                <w:lang w:val="sq-AL"/>
              </w:rPr>
            </w:pPr>
            <w:r w:rsidRPr="00BA29F6">
              <w:rPr>
                <w:rFonts w:ascii="Arial Narrow" w:hAnsi="Arial Narrow"/>
                <w:bCs/>
                <w:smallCaps/>
                <w:color w:val="1F3864" w:themeColor="accent5" w:themeShade="80"/>
                <w:sz w:val="6"/>
                <w:szCs w:val="6"/>
                <w:lang w:val="sq-AL"/>
              </w:rPr>
              <w:t xml:space="preserve"> </w:t>
            </w:r>
          </w:p>
        </w:tc>
      </w:tr>
      <w:tr w:rsidR="00BA29F6" w:rsidRPr="00BA29F6" w14:paraId="6EED7946" w14:textId="77777777" w:rsidTr="000C1811">
        <w:trPr>
          <w:trHeight w:val="257"/>
        </w:trPr>
        <w:tc>
          <w:tcPr>
            <w:tcW w:w="10207" w:type="dxa"/>
            <w:shd w:val="clear" w:color="auto" w:fill="E6E6E6"/>
          </w:tcPr>
          <w:p w14:paraId="4FC90C66" w14:textId="0A9B3ABE" w:rsidR="00191C05" w:rsidRPr="00BA29F6" w:rsidRDefault="004441E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QËLLIMI I OPERACIONIT TË PËRPUNIMIT</w:t>
            </w:r>
          </w:p>
        </w:tc>
      </w:tr>
      <w:tr w:rsidR="00BA29F6" w:rsidRPr="00BA29F6" w14:paraId="2A67513B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27525291" w14:textId="77777777" w:rsidR="00191C05" w:rsidRPr="00BA29F6" w:rsidRDefault="00191C05" w:rsidP="000C1811">
            <w:pPr>
              <w:spacing w:after="0"/>
              <w:ind w:right="74"/>
              <w:jc w:val="left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1C3639F4" w14:textId="77777777" w:rsidR="00191C05" w:rsidRPr="00BA29F6" w:rsidRDefault="00191C05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1F3864" w:themeColor="accent5" w:themeShade="80"/>
                <w:sz w:val="8"/>
                <w:szCs w:val="18"/>
                <w:lang w:val="sq-AL"/>
              </w:rPr>
            </w:pPr>
          </w:p>
          <w:p w14:paraId="6759FEBC" w14:textId="6718457D" w:rsidR="00A95C10" w:rsidRPr="00BA29F6" w:rsidRDefault="001343D4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Qëllimi i përpunimit të të dhënave është sigur</w:t>
            </w:r>
            <w:r w:rsidR="00BA29F6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i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a e personelit dhe komunikimit të EULEX Kosova në rast të emergjencave</w:t>
            </w:r>
            <w:r w:rsidR="003724A6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.</w:t>
            </w:r>
          </w:p>
          <w:p w14:paraId="028E5BE0" w14:textId="77777777" w:rsidR="00A95C10" w:rsidRPr="008C6FB3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color w:val="002060"/>
                <w:sz w:val="8"/>
                <w:szCs w:val="18"/>
                <w:lang w:val="sq-AL"/>
              </w:rPr>
            </w:pPr>
          </w:p>
        </w:tc>
      </w:tr>
      <w:tr w:rsidR="00BA29F6" w:rsidRPr="00BA29F6" w14:paraId="27E2F1DF" w14:textId="77777777" w:rsidTr="000C1811">
        <w:tc>
          <w:tcPr>
            <w:tcW w:w="10207" w:type="dxa"/>
            <w:shd w:val="clear" w:color="auto" w:fill="E6E6E6"/>
          </w:tcPr>
          <w:p w14:paraId="58A40865" w14:textId="5B039C0F" w:rsidR="00191C05" w:rsidRPr="00BA29F6" w:rsidRDefault="004441E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TË DHËNAT E PËRPUNUARA</w:t>
            </w:r>
          </w:p>
        </w:tc>
      </w:tr>
      <w:tr w:rsidR="00BA29F6" w:rsidRPr="00BA29F6" w14:paraId="64229B22" w14:textId="77777777" w:rsidTr="000C1811">
        <w:trPr>
          <w:trHeight w:val="416"/>
        </w:trPr>
        <w:tc>
          <w:tcPr>
            <w:tcW w:w="10207" w:type="dxa"/>
            <w:shd w:val="clear" w:color="auto" w:fill="auto"/>
          </w:tcPr>
          <w:p w14:paraId="4865B00F" w14:textId="316ECF63" w:rsidR="00191C05" w:rsidRPr="00BA29F6" w:rsidRDefault="00191C05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00200433" w14:textId="3D591DC2" w:rsidR="0011504E" w:rsidRPr="00BA29F6" w:rsidRDefault="0026269B" w:rsidP="0011504E">
            <w:pPr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T</w:t>
            </w:r>
            <w:r w:rsidR="004441E9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ë dhënat, përfshirë të dhënat personale, që mund të përpunohen për atë qëllim janë si në vijim:</w:t>
            </w:r>
            <w:r w:rsidR="0011504E"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 xml:space="preserve"> </w:t>
            </w:r>
          </w:p>
          <w:p w14:paraId="674DB659" w14:textId="77777777" w:rsidR="003724A6" w:rsidRPr="00BA29F6" w:rsidRDefault="003724A6" w:rsidP="0011504E">
            <w:pPr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</w:p>
          <w:p w14:paraId="01003CF8" w14:textId="6D642049" w:rsidR="0026269B" w:rsidRPr="00BA29F6" w:rsidRDefault="0026269B" w:rsidP="003724A6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ID e </w:t>
            </w:r>
            <w:r w:rsidR="002C264A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kodit t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ë thirrjes me radio</w:t>
            </w:r>
          </w:p>
          <w:p w14:paraId="19501CD5" w14:textId="77777777" w:rsidR="0026269B" w:rsidRPr="00BA29F6" w:rsidRDefault="0026269B" w:rsidP="003724A6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ID e misionit</w:t>
            </w:r>
          </w:p>
          <w:p w14:paraId="46E65E8D" w14:textId="73BBF1BD" w:rsidR="0077440B" w:rsidRPr="00BA29F6" w:rsidRDefault="0026269B" w:rsidP="00E40B33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Numri i regjistrimit të automjetit të Misionit</w:t>
            </w:r>
          </w:p>
          <w:p w14:paraId="0EC62FC0" w14:textId="77777777" w:rsidR="00827746" w:rsidRPr="00BA29F6" w:rsidRDefault="00827746" w:rsidP="00827746">
            <w:p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</w:p>
        </w:tc>
      </w:tr>
      <w:tr w:rsidR="00BA29F6" w:rsidRPr="00BA29F6" w14:paraId="707DC8A7" w14:textId="77777777" w:rsidTr="000C1811">
        <w:tc>
          <w:tcPr>
            <w:tcW w:w="10207" w:type="dxa"/>
            <w:shd w:val="clear" w:color="auto" w:fill="E6E6E6"/>
          </w:tcPr>
          <w:p w14:paraId="1EA66502" w14:textId="485F7AD4" w:rsidR="004441E9" w:rsidRPr="00BA29F6" w:rsidRDefault="004441E9" w:rsidP="004441E9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KONTROLLUESI I OPERACIONIT TË PËRPUNIMIT</w:t>
            </w:r>
          </w:p>
        </w:tc>
      </w:tr>
      <w:tr w:rsidR="00BA29F6" w:rsidRPr="00BA29F6" w14:paraId="7D876710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1B23D4D0" w14:textId="77777777" w:rsidR="004441E9" w:rsidRPr="00BA29F6" w:rsidRDefault="004441E9" w:rsidP="004441E9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48A7FE29" w14:textId="77777777" w:rsidR="004441E9" w:rsidRPr="00BA29F6" w:rsidRDefault="004441E9" w:rsidP="004441E9">
            <w:pPr>
              <w:spacing w:after="0"/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</w:pPr>
            <w:r w:rsidRPr="00BA29F6"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  <w:t>Kontrolluesi që përcakton qëllimin dhe mënyrat e aktivitetit të përpunimit është Misioni i CSDP/PPSM - EULEX Kosova. Sektori i EULEX Kosova përgjegjës për menaxhimin e përpunimit të të dhënave personale është NJËSIA E SISTEMEVE TË KOMUNIKIMIT DHE INFORMACIONIT (SKI) nën mbikëqyrjen e Shefit të Misionit apo zëvendësit që vepron në emër të tij.</w:t>
            </w:r>
          </w:p>
          <w:p w14:paraId="6FCE597C" w14:textId="77777777" w:rsidR="004441E9" w:rsidRPr="00BA29F6" w:rsidRDefault="004441E9" w:rsidP="004441E9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10"/>
                <w:szCs w:val="22"/>
                <w:lang w:val="sq-AL"/>
              </w:rPr>
            </w:pPr>
          </w:p>
          <w:p w14:paraId="32ABA28A" w14:textId="77777777" w:rsidR="004441E9" w:rsidRPr="00BA29F6" w:rsidRDefault="004441E9" w:rsidP="004441E9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</w:tc>
      </w:tr>
      <w:tr w:rsidR="00BA29F6" w:rsidRPr="00BA29F6" w14:paraId="18F06F18" w14:textId="77777777" w:rsidTr="000C1811">
        <w:tc>
          <w:tcPr>
            <w:tcW w:w="10207" w:type="dxa"/>
            <w:shd w:val="clear" w:color="auto" w:fill="E6E6E6"/>
          </w:tcPr>
          <w:p w14:paraId="4E89D656" w14:textId="33711B4F" w:rsidR="00191C05" w:rsidRPr="00BA29F6" w:rsidRDefault="004441E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MARRËSIT E TË DHËNAVE</w:t>
            </w:r>
          </w:p>
        </w:tc>
      </w:tr>
      <w:tr w:rsidR="00BA29F6" w:rsidRPr="00BA29F6" w14:paraId="648B9668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AE2BAFE" w14:textId="77777777" w:rsidR="00191C05" w:rsidRPr="00BA29F6" w:rsidRDefault="00191C05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27A1AD4B" w14:textId="77777777" w:rsidR="004441E9" w:rsidRPr="00BA29F6" w:rsidRDefault="004441E9" w:rsidP="004441E9">
            <w:pPr>
              <w:spacing w:after="0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 xml:space="preserve">Marrësit e të dhënave tuaja mund të jenë </w:t>
            </w:r>
          </w:p>
          <w:p w14:paraId="0081E23A" w14:textId="77777777" w:rsidR="004441E9" w:rsidRPr="00BA29F6" w:rsidRDefault="004441E9" w:rsidP="004441E9">
            <w:pPr>
              <w:spacing w:after="0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</w:p>
          <w:p w14:paraId="11D08598" w14:textId="77777777" w:rsidR="004441E9" w:rsidRPr="00BA29F6" w:rsidRDefault="004441E9" w:rsidP="004441E9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Shefi i Misionit apo zëvendësi i tij</w:t>
            </w:r>
          </w:p>
          <w:p w14:paraId="07A1C661" w14:textId="1D34B5F5" w:rsidR="004441E9" w:rsidRPr="00BA29F6" w:rsidRDefault="004441E9" w:rsidP="004441E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Stafi i autorizuar dhe i caktuar i Njësisë SKI (Komunikimit) me fushëveprim të qasjes së kufizuar në bazë të parimit të privilegjit </w:t>
            </w:r>
            <w:r w:rsidR="002C264A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të shkallës më të ulët 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dhe nevojës për të ditur. </w:t>
            </w:r>
          </w:p>
          <w:p w14:paraId="338816FF" w14:textId="64D65DBD" w:rsidR="004441E9" w:rsidRPr="00BA29F6" w:rsidRDefault="004441E9" w:rsidP="004441E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Udhëheqësi i shërbimeve teknike mbi parimin e privilegjit</w:t>
            </w:r>
            <w:r w:rsidR="002C264A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 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të </w:t>
            </w:r>
            <w:r w:rsidR="002C264A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shkallës më të ulët 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dhe nevojës për të ditur </w:t>
            </w:r>
          </w:p>
          <w:p w14:paraId="195F6D2D" w14:textId="7860AACB" w:rsidR="00012B08" w:rsidRPr="00BA29F6" w:rsidRDefault="0026269B" w:rsidP="00012B08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Zyrtarët e sigurimit që punojnë në dhomën e operacioneve të sigurisë në selinë e Misionit </w:t>
            </w:r>
          </w:p>
          <w:p w14:paraId="7CEC18C2" w14:textId="44BC33FC" w:rsidR="00012B08" w:rsidRPr="00BA29F6" w:rsidRDefault="00D6183D" w:rsidP="00012B08">
            <w:pPr>
              <w:numPr>
                <w:ilvl w:val="0"/>
                <w:numId w:val="14"/>
              </w:numPr>
              <w:spacing w:before="20" w:after="0" w:line="240" w:lineRule="exact"/>
              <w:jc w:val="left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Në rast të emergjencave, ekipi i EULEX Kosova për menaxhim të krizave</w:t>
            </w:r>
            <w:r w:rsidR="00012B08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 </w:t>
            </w:r>
          </w:p>
          <w:p w14:paraId="087EBA46" w14:textId="68CA1400" w:rsidR="009639EA" w:rsidRPr="00BA29F6" w:rsidRDefault="004441E9" w:rsidP="004441E9">
            <w:pPr>
              <w:tabs>
                <w:tab w:val="left" w:pos="3231"/>
              </w:tabs>
              <w:spacing w:before="20" w:after="0" w:line="240" w:lineRule="exact"/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</w:pPr>
            <w:r w:rsidRPr="00BA29F6">
              <w:rPr>
                <w:rFonts w:ascii="Arial Narrow" w:hAnsi="Arial Narrow" w:cs="ArialNarrow"/>
                <w:color w:val="1F3864" w:themeColor="accent5" w:themeShade="80"/>
                <w:sz w:val="22"/>
                <w:szCs w:val="22"/>
                <w:lang w:val="sq-AL" w:eastAsia="en-GB"/>
              </w:rPr>
              <w:tab/>
            </w:r>
          </w:p>
          <w:p w14:paraId="64998F6F" w14:textId="2B6E2A0E" w:rsidR="007E2FD1" w:rsidRPr="00BA29F6" w:rsidRDefault="004441E9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8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Informatat e dhëna nuk do t’i komunikohen palëve të treta, përveç atëherë kur është e nevojshme për qëllimet e dhëna më sipër. </w:t>
            </w:r>
          </w:p>
          <w:p w14:paraId="72208497" w14:textId="77777777" w:rsidR="00191C05" w:rsidRPr="00BA29F6" w:rsidRDefault="00191C05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8"/>
                <w:szCs w:val="22"/>
                <w:lang w:val="sq-AL"/>
              </w:rPr>
            </w:pPr>
          </w:p>
        </w:tc>
      </w:tr>
      <w:tr w:rsidR="00BA29F6" w:rsidRPr="00BA29F6" w14:paraId="169FFA8E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14:paraId="5A15EFDE" w14:textId="0A08083C" w:rsidR="00191C05" w:rsidRPr="00BA29F6" w:rsidRDefault="00D6183D" w:rsidP="00D6183D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 xml:space="preserve">DHËNIA, QASJA DHE NDRYSHIMI I TË DHËNAVE </w:t>
            </w:r>
          </w:p>
        </w:tc>
      </w:tr>
      <w:tr w:rsidR="00BA29F6" w:rsidRPr="00BA29F6" w14:paraId="5D14D147" w14:textId="77777777" w:rsidTr="000C181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9586" w14:textId="356869F9" w:rsidR="004441E9" w:rsidRPr="00BA29F6" w:rsidRDefault="004441E9" w:rsidP="004441E9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Ju keni të drejtë t’i qaseni të dhënave tuaja personale dhe të drejtë të korrigjoni të dhënat personale të pasakta apo të mangëta, si dhe të kërkoni largimin e të dhënave tuaja personale, nëse ato janë mbledhur në mënyrë të paligjshme, kërkesë kjo që do të </w:t>
            </w:r>
            <w:r w:rsidR="00404D39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plotësohet 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brenda një muaji nëse ajo konsiderohet legjitime. Nëse keni ndonjë pyetje rreth përpunimit të të dhënave tuaja personale, ju mund t’i drejtoni ato në emailin: </w:t>
            </w:r>
            <w:hyperlink r:id="rId9" w:history="1">
              <w:r w:rsidRPr="00BA29F6">
                <w:rPr>
                  <w:rStyle w:val="Hyperlink"/>
                  <w:rFonts w:ascii="Arial Narrow" w:hAnsi="Arial Narrow"/>
                  <w:b/>
                  <w:color w:val="1F3864" w:themeColor="accent5" w:themeShade="80"/>
                  <w:sz w:val="22"/>
                  <w:szCs w:val="22"/>
                  <w:lang w:val="sq-AL"/>
                </w:rPr>
                <w:t>info@eulex-kosovo.eu</w:t>
              </w:r>
            </w:hyperlink>
          </w:p>
          <w:p w14:paraId="3B378C79" w14:textId="183C35B1" w:rsidR="00191C05" w:rsidRPr="00BA29F6" w:rsidRDefault="00191C05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</w:tc>
      </w:tr>
      <w:tr w:rsidR="00BA29F6" w:rsidRPr="00BA29F6" w14:paraId="51C99B8F" w14:textId="77777777" w:rsidTr="000C1811">
        <w:tc>
          <w:tcPr>
            <w:tcW w:w="10207" w:type="dxa"/>
            <w:tcBorders>
              <w:top w:val="single" w:sz="4" w:space="0" w:color="auto"/>
            </w:tcBorders>
            <w:shd w:val="clear" w:color="auto" w:fill="E6E6E6"/>
          </w:tcPr>
          <w:p w14:paraId="02AD6A09" w14:textId="557B40F3" w:rsidR="00344D66" w:rsidRPr="00BA29F6" w:rsidRDefault="00344D66" w:rsidP="00344D66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aps/>
                <w:color w:val="1F3864" w:themeColor="accent5" w:themeShade="80"/>
                <w:sz w:val="22"/>
                <w:szCs w:val="22"/>
                <w:u w:val="single"/>
                <w:lang w:val="sq-AL"/>
              </w:rPr>
              <w:lastRenderedPageBreak/>
              <w:t>baza ligjore për OPERACIONIN e përpunimit</w:t>
            </w:r>
          </w:p>
        </w:tc>
      </w:tr>
      <w:tr w:rsidR="00BA29F6" w:rsidRPr="00BA29F6" w14:paraId="02E68CF7" w14:textId="77777777" w:rsidTr="000C1811">
        <w:trPr>
          <w:trHeight w:val="1057"/>
        </w:trPr>
        <w:tc>
          <w:tcPr>
            <w:tcW w:w="10207" w:type="dxa"/>
            <w:shd w:val="clear" w:color="auto" w:fill="auto"/>
          </w:tcPr>
          <w:p w14:paraId="74779C51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2BB4BACD" w14:textId="77777777" w:rsidR="00344D66" w:rsidRPr="00BA29F6" w:rsidRDefault="00344D66" w:rsidP="00344D66">
            <w:pPr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Baza ligjore përveç legjislacionit për mbrojtjen e të dhënave të cekur më sipër:</w:t>
            </w:r>
          </w:p>
          <w:p w14:paraId="4F6F0930" w14:textId="77777777" w:rsidR="00344D66" w:rsidRPr="00BA29F6" w:rsidRDefault="00344D66" w:rsidP="00344D66">
            <w:pPr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</w:p>
          <w:p w14:paraId="71C0518C" w14:textId="77777777" w:rsidR="00344D66" w:rsidRPr="00BA29F6" w:rsidRDefault="00344D66" w:rsidP="00344D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Veprimi i përbashkët i Këshillit 2008/124/CFSP, datë 4 shkurt 2008, së bashku me Veprimet e Përbashkëta dhe Vendimet pasuese të Këshillit për ndryshimin dhe zgjatjen e Veprimit të Përbashkët 2008/124/CFSP, i fundit Veprimi i Këshillit (CFSP) 2021/904</w:t>
            </w:r>
          </w:p>
          <w:p w14:paraId="7A056343" w14:textId="77777777" w:rsidR="00344D66" w:rsidRPr="00BA29F6" w:rsidRDefault="00344D66" w:rsidP="00344D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Plani operacional i rishikuar (EEAS(2021/540 datë 18/05/2021)</w:t>
            </w:r>
          </w:p>
          <w:p w14:paraId="3BBE07D6" w14:textId="77777777" w:rsidR="00344D66" w:rsidRPr="00BA29F6" w:rsidRDefault="00344D66" w:rsidP="00344D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Udhëzimi i Komandantit të Operacioneve Civile 12/2018 për PSO rreth Mbrojtjes së të dhënave personale</w:t>
            </w:r>
          </w:p>
          <w:p w14:paraId="043F7862" w14:textId="77777777" w:rsidR="00344D66" w:rsidRPr="00BA29F6" w:rsidRDefault="00344D66" w:rsidP="00344D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PSO e EULEX Kosova Për Mbrojtjen e të dhënave </w:t>
            </w: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  <w:t>(2019-EULEX -0002-01)</w:t>
            </w:r>
          </w:p>
          <w:p w14:paraId="11FA00B3" w14:textId="77777777" w:rsidR="00344D66" w:rsidRPr="00BA29F6" w:rsidRDefault="00344D66" w:rsidP="00344D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PSO e EULEX Kosova për Njësinë e Komunikimeve dhe Sistemeve  (2021-EULEX-0003-01)</w:t>
            </w:r>
          </w:p>
          <w:p w14:paraId="3EF9963D" w14:textId="77777777" w:rsidR="00344D66" w:rsidRPr="00BA29F6" w:rsidRDefault="00344D66" w:rsidP="00344D66">
            <w:pPr>
              <w:spacing w:after="0"/>
              <w:ind w:left="360" w:right="74"/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q-AL" w:eastAsia="fr-FR"/>
              </w:rPr>
            </w:pPr>
          </w:p>
          <w:p w14:paraId="08057961" w14:textId="77777777" w:rsidR="00344D66" w:rsidRPr="00BA29F6" w:rsidRDefault="00344D66" w:rsidP="00344D66">
            <w:pPr>
              <w:spacing w:after="0"/>
              <w:ind w:left="360" w:right="74"/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q-AL" w:eastAsia="fr-FR"/>
              </w:rPr>
            </w:pPr>
            <w:r w:rsidRPr="00BA29F6">
              <w:rPr>
                <w:rFonts w:ascii="Arial Narrow" w:hAnsi="Arial Narrow"/>
                <w:color w:val="1F3864" w:themeColor="accent5" w:themeShade="80"/>
                <w:sz w:val="22"/>
                <w:szCs w:val="22"/>
                <w:lang w:val="sq-AL" w:eastAsia="fr-FR"/>
              </w:rPr>
              <w:t xml:space="preserve">Të dhënat personale përpunohen për ekzekutimin e mandatit të Misionit. </w:t>
            </w:r>
          </w:p>
          <w:p w14:paraId="550E4233" w14:textId="77777777" w:rsidR="00344D66" w:rsidRPr="00BA29F6" w:rsidRDefault="00344D66" w:rsidP="00344D66">
            <w:p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1B9A20BC" w14:textId="77777777" w:rsidR="00344D66" w:rsidRPr="00BA29F6" w:rsidRDefault="00344D66" w:rsidP="00344D66">
            <w:pPr>
              <w:pStyle w:val="Default"/>
              <w:jc w:val="both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</w:tc>
      </w:tr>
      <w:tr w:rsidR="00BA29F6" w:rsidRPr="00BA29F6" w14:paraId="4C46DA18" w14:textId="77777777" w:rsidTr="000C1811">
        <w:tc>
          <w:tcPr>
            <w:tcW w:w="10207" w:type="dxa"/>
            <w:shd w:val="clear" w:color="auto" w:fill="E6E6E6"/>
          </w:tcPr>
          <w:p w14:paraId="61BA89D7" w14:textId="708594F7" w:rsidR="00191C05" w:rsidRPr="00BA29F6" w:rsidRDefault="00344D66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KUFIZIMI KOHOR PËR RUAJTJEN E TË DHËNAVE</w:t>
            </w:r>
          </w:p>
        </w:tc>
      </w:tr>
      <w:tr w:rsidR="00BA29F6" w:rsidRPr="00BA29F6" w14:paraId="3301D5EF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529A528" w14:textId="77777777" w:rsidR="00191C05" w:rsidRPr="00BA29F6" w:rsidRDefault="00191C05" w:rsidP="000C1811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</w:p>
          <w:p w14:paraId="367CD37D" w14:textId="0313C734" w:rsidR="007C62A5" w:rsidRPr="00BA29F6" w:rsidRDefault="00D6183D" w:rsidP="00472B3E">
            <w:pPr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Mbajtja e të dhënave: </w:t>
            </w:r>
            <w:r w:rsidR="007C62A5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Sistemi aktual i komunikimit me radio nuk ka mundësi teknike për të ruajtur ndonjë të dhënë që ka të bëjë me komunikimin me radio. </w:t>
            </w:r>
          </w:p>
          <w:p w14:paraId="78CCAC03" w14:textId="6C046E16" w:rsidR="00472B3E" w:rsidRPr="00BA29F6" w:rsidRDefault="00AC648F" w:rsidP="00472B3E">
            <w:pPr>
              <w:ind w:right="74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/>
              </w:rPr>
              <w:t xml:space="preserve">Incizimet gjatë situatave emergjente mund të ruhen për një periudhë në rast të hetimeve apo analizave të rasteve. Në rast të incidenteve të sigurisë apo hetimeve penale, të dhënat përkatëse </w:t>
            </w:r>
            <w:r w:rsidR="002C264A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/>
              </w:rPr>
              <w:t xml:space="preserve">rregullohen me </w:t>
            </w:r>
            <w:r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/>
              </w:rPr>
              <w:t>legjislacionin specifik (të Kosovës apo shteteve anëtare të BE-së</w:t>
            </w:r>
            <w:r w:rsidR="00472B3E" w:rsidRPr="00BA29F6">
              <w:rPr>
                <w:rFonts w:ascii="Arial Narrow" w:hAnsi="Arial Narrow" w:cs="Calibri"/>
                <w:color w:val="1F3864" w:themeColor="accent5" w:themeShade="80"/>
                <w:sz w:val="22"/>
                <w:szCs w:val="22"/>
                <w:lang w:val="sq-AL"/>
              </w:rPr>
              <w:t xml:space="preserve">). </w:t>
            </w:r>
          </w:p>
          <w:p w14:paraId="5EEFEB65" w14:textId="4EE054B1" w:rsidR="00472B3E" w:rsidRPr="00BA29F6" w:rsidRDefault="00AC648F" w:rsidP="00472B3E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ID e </w:t>
            </w:r>
            <w:r w:rsidR="002C264A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kodit të thirrjes ruhet</w:t>
            </w:r>
            <w:bookmarkStart w:id="0" w:name="_GoBack"/>
            <w:bookmarkEnd w:id="0"/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 në databazën e adresarit telefonik vetëm për periudhën e punësimit të pjesëtarit të Misionit</w:t>
            </w:r>
            <w:r w:rsidR="00472B3E"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. </w:t>
            </w:r>
          </w:p>
          <w:p w14:paraId="352668B8" w14:textId="77777777" w:rsidR="00472B3E" w:rsidRPr="00BA29F6" w:rsidRDefault="00472B3E" w:rsidP="00472B3E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</w:p>
          <w:p w14:paraId="598E8533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Siguria e të dhënave: </w:t>
            </w:r>
          </w:p>
          <w:p w14:paraId="4B98D67C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i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Masat e duhura teknike dhe organizative janë të siguruara:</w:t>
            </w:r>
          </w:p>
          <w:p w14:paraId="41692E89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</w:p>
          <w:p w14:paraId="7B2B0F4A" w14:textId="77777777" w:rsidR="00344D66" w:rsidRPr="00BA29F6" w:rsidRDefault="00344D66" w:rsidP="00344D66">
            <w:pPr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  <w:i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i/>
                <w:color w:val="1F3864" w:themeColor="accent5" w:themeShade="80"/>
                <w:sz w:val="22"/>
                <w:szCs w:val="22"/>
                <w:lang w:val="sq-AL"/>
              </w:rPr>
              <w:t>Formati elektronik</w:t>
            </w: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: Të dhënat ruhen në serverë që i respektojnë rregullat përkatëse të sigurisë. Të dhënat personale do të përpunohen nga stafi i caktuar. Dosjet kanë qasje të autorizuar. Masat sigurohen për të parandaluar entitetet jopërgjegjëse nga qasja në të dhëna. Qasja e përgjithshme në të gjitha të dhënat personale të mbledhura dhe të gjitha informatat e ndërlidhura është e mundur vetëm për marrësit me UserID / Password.</w:t>
            </w:r>
          </w:p>
          <w:p w14:paraId="3DF67BB3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i/>
                <w:color w:val="1F3864" w:themeColor="accent5" w:themeShade="80"/>
                <w:sz w:val="22"/>
                <w:szCs w:val="22"/>
                <w:lang w:val="sq-AL"/>
              </w:rPr>
            </w:pPr>
          </w:p>
          <w:p w14:paraId="33F45892" w14:textId="521F81E7" w:rsidR="00344D66" w:rsidRPr="00BA29F6" w:rsidRDefault="00344D66" w:rsidP="00344D66">
            <w:pPr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për të parandaluar personat e paautorizuar që të qasen në sisteme kompjuterike; leximin, kopjimin, ndryshimin apo largimin e paautorizuar të mediave të ruajtjes; regjistrimin e paautorizuar në memorie; zbulimin/tregimin e paautorizuar; ndryshimin apo fshirjen e të dhënave personale të ruajtura; personave të paautorizuar nga përdorimi i sistemeve për përpunimin e të dhënave me anë të mundësive për transmetimin e të dhënave;</w:t>
            </w:r>
          </w:p>
          <w:p w14:paraId="3FF6AB03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</w:p>
          <w:p w14:paraId="7C1EAD2F" w14:textId="77777777" w:rsidR="00344D66" w:rsidRPr="00BA29F6" w:rsidRDefault="00344D66" w:rsidP="001B0332">
            <w:pPr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për të siguruar që përdoruesit e autorizuar të sistemit të përpunimit të të dhënave të mos mund t’i qasen të dhënave personale të tjera përveç atyre për të cilat iu referohen të drejtat e tyre të qasjes; mundësia për të kontrolluar hyrjet në sistem; dhe që të dhënat personale që përpunohen në emër të palëve të treta mund të përpunohen vetëm me udhëzim të kontrolluesit; dhe që, gjatë komunikimit apo transportimit të të dhënave personale, të dhënat të mos mund të lexohen, kopjohen apo fshihen pa autorizim;</w:t>
            </w:r>
          </w:p>
          <w:p w14:paraId="773FA8D7" w14:textId="77777777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</w:p>
          <w:p w14:paraId="655538F9" w14:textId="3FE6ECD2" w:rsidR="00472B3E" w:rsidRPr="00BA29F6" w:rsidRDefault="00344D66" w:rsidP="00344D66">
            <w:pPr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të regjistrohet se cilat të dhëna personale janë komunikuar, në çfarë kohe dhe tek kush</w:t>
            </w:r>
          </w:p>
          <w:p w14:paraId="117790FC" w14:textId="77777777" w:rsidR="00252630" w:rsidRPr="00BA29F6" w:rsidRDefault="007018AB" w:rsidP="007018AB">
            <w:pPr>
              <w:spacing w:after="0"/>
              <w:ind w:right="74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  <w:t xml:space="preserve"> </w:t>
            </w:r>
          </w:p>
        </w:tc>
      </w:tr>
      <w:tr w:rsidR="00BA29F6" w:rsidRPr="00BA29F6" w14:paraId="065F8ED5" w14:textId="77777777" w:rsidTr="000C1811">
        <w:tc>
          <w:tcPr>
            <w:tcW w:w="10207" w:type="dxa"/>
            <w:shd w:val="clear" w:color="auto" w:fill="E6E6E6"/>
          </w:tcPr>
          <w:p w14:paraId="6879091D" w14:textId="2460A67B" w:rsidR="00344D66" w:rsidRPr="00BA29F6" w:rsidRDefault="00344D66" w:rsidP="00344D66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KONTAKTI I MBROJTJES SË TË DHËNAVE: KËSHILLTARI I MISIONIT PËR MBROJTJEN E TË DHËNAVE</w:t>
            </w:r>
          </w:p>
        </w:tc>
      </w:tr>
      <w:tr w:rsidR="00BA29F6" w:rsidRPr="00BA29F6" w14:paraId="16A29F07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B59E9FC" w14:textId="77777777" w:rsidR="00344D66" w:rsidRPr="00BA29F6" w:rsidRDefault="00344D66" w:rsidP="00344D66">
            <w:pPr>
              <w:spacing w:before="60" w:after="0"/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 xml:space="preserve">Në rast të ndonjë pyetje rreth mbrojtjes së të dhënave tuaja personale, ju mund të kontaktoni edhe Këshilltarin e Misionit për mbrojtjen e të dhënave (KMMDh)– këshilltarin ligjor - në emailin funksional të Misionit: </w:t>
            </w: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lang w:val="sq-AL"/>
              </w:rPr>
              <w:t>MDPA@eulex-kosovo.eu</w:t>
            </w:r>
          </w:p>
          <w:p w14:paraId="1AF72712" w14:textId="23724BE7" w:rsidR="00344D66" w:rsidRPr="00BA29F6" w:rsidRDefault="00344D66" w:rsidP="00344D66">
            <w:pPr>
              <w:spacing w:before="60"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  <w:t xml:space="preserve"> </w:t>
            </w:r>
          </w:p>
        </w:tc>
      </w:tr>
      <w:tr w:rsidR="00BA29F6" w:rsidRPr="00BA29F6" w14:paraId="73F3B691" w14:textId="77777777" w:rsidTr="000C1811">
        <w:tc>
          <w:tcPr>
            <w:tcW w:w="10207" w:type="dxa"/>
            <w:shd w:val="clear" w:color="auto" w:fill="E6E6E6"/>
          </w:tcPr>
          <w:p w14:paraId="77BB9FF0" w14:textId="31594BB8" w:rsidR="00344D66" w:rsidRPr="00BA29F6" w:rsidRDefault="00344D66" w:rsidP="00344D66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</w:pPr>
            <w:r w:rsidRPr="00BA29F6">
              <w:rPr>
                <w:rFonts w:ascii="Arial Narrow" w:hAnsi="Arial Narrow" w:cs="Arial"/>
                <w:b/>
                <w:color w:val="1F3864" w:themeColor="accent5" w:themeShade="80"/>
                <w:sz w:val="22"/>
                <w:szCs w:val="22"/>
                <w:u w:val="single"/>
                <w:lang w:val="sq-AL"/>
              </w:rPr>
              <w:t>MJETET JURIDIKE</w:t>
            </w:r>
          </w:p>
        </w:tc>
      </w:tr>
      <w:tr w:rsidR="00BA29F6" w:rsidRPr="00BA29F6" w14:paraId="2BC8E516" w14:textId="77777777" w:rsidTr="000C1811">
        <w:tc>
          <w:tcPr>
            <w:tcW w:w="10207" w:type="dxa"/>
            <w:shd w:val="clear" w:color="auto" w:fill="auto"/>
          </w:tcPr>
          <w:p w14:paraId="5D62A10A" w14:textId="18FD2E63" w:rsidR="00344D66" w:rsidRPr="00BA29F6" w:rsidRDefault="00344D66" w:rsidP="00344D66">
            <w:pPr>
              <w:spacing w:after="0"/>
              <w:rPr>
                <w:rFonts w:ascii="Arial Narrow" w:hAnsi="Arial Narrow" w:cs="Arial"/>
                <w:color w:val="1F3864" w:themeColor="accent5" w:themeShade="80"/>
                <w:sz w:val="6"/>
                <w:szCs w:val="6"/>
                <w:lang w:val="sq-AL"/>
              </w:rPr>
            </w:pPr>
            <w:r w:rsidRPr="00BA29F6">
              <w:rPr>
                <w:rFonts w:ascii="Arial Narrow" w:hAnsi="Arial Narrow" w:cs="Arial"/>
                <w:color w:val="1F3864" w:themeColor="accent5" w:themeShade="80"/>
                <w:sz w:val="22"/>
                <w:szCs w:val="22"/>
                <w:lang w:val="sq-AL"/>
              </w:rPr>
              <w:t>Ju në çdo kohë keni të drejtë për mjete juridike të cilat mund t’i drejtoni tek Shefi i Misionit në EULEX Kosova, duke kopjuar KMMDh (këshilltarin ligjor).</w:t>
            </w:r>
          </w:p>
        </w:tc>
      </w:tr>
    </w:tbl>
    <w:p w14:paraId="55093869" w14:textId="77777777" w:rsidR="00191C05" w:rsidRPr="00BA29F6" w:rsidRDefault="00191C05" w:rsidP="00EE790D">
      <w:pPr>
        <w:spacing w:after="0"/>
        <w:rPr>
          <w:rFonts w:ascii="Arial" w:hAnsi="Arial"/>
          <w:color w:val="1F3864" w:themeColor="accent5" w:themeShade="80"/>
          <w:lang w:val="sq-AL"/>
        </w:rPr>
      </w:pPr>
    </w:p>
    <w:sectPr w:rsidR="00191C05" w:rsidRPr="00BA29F6" w:rsidSect="00191C0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F4FDE" w14:textId="77777777" w:rsidR="00296778" w:rsidRDefault="00296778" w:rsidP="000B10C9">
      <w:pPr>
        <w:spacing w:after="0"/>
      </w:pPr>
      <w:r>
        <w:separator/>
      </w:r>
    </w:p>
  </w:endnote>
  <w:endnote w:type="continuationSeparator" w:id="0">
    <w:p w14:paraId="0398FCE1" w14:textId="77777777" w:rsidR="00296778" w:rsidRDefault="00296778" w:rsidP="000B1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B7F90" w14:textId="77777777" w:rsidR="00296778" w:rsidRDefault="00296778" w:rsidP="000B10C9">
      <w:pPr>
        <w:spacing w:after="0"/>
      </w:pPr>
      <w:r>
        <w:separator/>
      </w:r>
    </w:p>
  </w:footnote>
  <w:footnote w:type="continuationSeparator" w:id="0">
    <w:p w14:paraId="2B41687C" w14:textId="77777777" w:rsidR="00296778" w:rsidRDefault="00296778" w:rsidP="000B1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4B"/>
    <w:multiLevelType w:val="hybridMultilevel"/>
    <w:tmpl w:val="38DEE8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41208"/>
    <w:multiLevelType w:val="hybridMultilevel"/>
    <w:tmpl w:val="EFEA85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3B40"/>
    <w:multiLevelType w:val="hybridMultilevel"/>
    <w:tmpl w:val="11B222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56D4A"/>
    <w:multiLevelType w:val="hybridMultilevel"/>
    <w:tmpl w:val="1826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187"/>
    <w:multiLevelType w:val="hybridMultilevel"/>
    <w:tmpl w:val="8AC8AADC"/>
    <w:lvl w:ilvl="0" w:tplc="1346DB38">
      <w:start w:val="1"/>
      <w:numFmt w:val="bullet"/>
      <w:lvlText w:val="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43794B6E"/>
    <w:multiLevelType w:val="hybridMultilevel"/>
    <w:tmpl w:val="0FA81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D35BA"/>
    <w:multiLevelType w:val="hybridMultilevel"/>
    <w:tmpl w:val="C79C3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E64B1"/>
    <w:multiLevelType w:val="hybridMultilevel"/>
    <w:tmpl w:val="0E26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DF2"/>
    <w:multiLevelType w:val="hybridMultilevel"/>
    <w:tmpl w:val="1F9C2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3CC6"/>
    <w:multiLevelType w:val="hybridMultilevel"/>
    <w:tmpl w:val="8452B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16A7"/>
    <w:multiLevelType w:val="hybridMultilevel"/>
    <w:tmpl w:val="1060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395"/>
    <w:multiLevelType w:val="hybridMultilevel"/>
    <w:tmpl w:val="238C1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3450"/>
    <w:multiLevelType w:val="hybridMultilevel"/>
    <w:tmpl w:val="EE68B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51EFF"/>
    <w:multiLevelType w:val="hybridMultilevel"/>
    <w:tmpl w:val="86C00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2217"/>
    <w:multiLevelType w:val="hybridMultilevel"/>
    <w:tmpl w:val="0A083A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75144"/>
    <w:multiLevelType w:val="hybridMultilevel"/>
    <w:tmpl w:val="AE6E5D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70AAC"/>
    <w:multiLevelType w:val="hybridMultilevel"/>
    <w:tmpl w:val="44062FA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5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10C9"/>
    <w:rsid w:val="000033A7"/>
    <w:rsid w:val="000066AF"/>
    <w:rsid w:val="000117D1"/>
    <w:rsid w:val="00011B39"/>
    <w:rsid w:val="00012B08"/>
    <w:rsid w:val="0001350D"/>
    <w:rsid w:val="00026182"/>
    <w:rsid w:val="00027A97"/>
    <w:rsid w:val="00050964"/>
    <w:rsid w:val="000570FB"/>
    <w:rsid w:val="00060144"/>
    <w:rsid w:val="000602C5"/>
    <w:rsid w:val="00060891"/>
    <w:rsid w:val="00071344"/>
    <w:rsid w:val="000840F9"/>
    <w:rsid w:val="0008551C"/>
    <w:rsid w:val="000878CC"/>
    <w:rsid w:val="0009775C"/>
    <w:rsid w:val="000A39D0"/>
    <w:rsid w:val="000B10C9"/>
    <w:rsid w:val="000C1811"/>
    <w:rsid w:val="000C4F80"/>
    <w:rsid w:val="000D4D6C"/>
    <w:rsid w:val="000D5064"/>
    <w:rsid w:val="000E7F38"/>
    <w:rsid w:val="000F1F82"/>
    <w:rsid w:val="000F69FB"/>
    <w:rsid w:val="000F6B71"/>
    <w:rsid w:val="0011504E"/>
    <w:rsid w:val="00116BD2"/>
    <w:rsid w:val="001330A5"/>
    <w:rsid w:val="001343D4"/>
    <w:rsid w:val="00143C2E"/>
    <w:rsid w:val="00160E63"/>
    <w:rsid w:val="00172280"/>
    <w:rsid w:val="00181BF6"/>
    <w:rsid w:val="00191C05"/>
    <w:rsid w:val="001941E6"/>
    <w:rsid w:val="001A6AD8"/>
    <w:rsid w:val="001C2E97"/>
    <w:rsid w:val="001C7681"/>
    <w:rsid w:val="001D2432"/>
    <w:rsid w:val="001D47AA"/>
    <w:rsid w:val="001E69B5"/>
    <w:rsid w:val="001F3E3A"/>
    <w:rsid w:val="001F7C5A"/>
    <w:rsid w:val="00202069"/>
    <w:rsid w:val="00207FEF"/>
    <w:rsid w:val="00215209"/>
    <w:rsid w:val="00224586"/>
    <w:rsid w:val="00237BA2"/>
    <w:rsid w:val="00244AFE"/>
    <w:rsid w:val="00252630"/>
    <w:rsid w:val="0026269B"/>
    <w:rsid w:val="00274219"/>
    <w:rsid w:val="0027449A"/>
    <w:rsid w:val="00281D99"/>
    <w:rsid w:val="002934F2"/>
    <w:rsid w:val="00294796"/>
    <w:rsid w:val="00296778"/>
    <w:rsid w:val="00296B04"/>
    <w:rsid w:val="002A2052"/>
    <w:rsid w:val="002B1037"/>
    <w:rsid w:val="002C264A"/>
    <w:rsid w:val="002C4A8C"/>
    <w:rsid w:val="002D5791"/>
    <w:rsid w:val="002E0916"/>
    <w:rsid w:val="002E6790"/>
    <w:rsid w:val="002F3106"/>
    <w:rsid w:val="002F6010"/>
    <w:rsid w:val="002F698F"/>
    <w:rsid w:val="002F6D05"/>
    <w:rsid w:val="003010EE"/>
    <w:rsid w:val="0033511D"/>
    <w:rsid w:val="003359FC"/>
    <w:rsid w:val="00344D66"/>
    <w:rsid w:val="0035433D"/>
    <w:rsid w:val="00357FA7"/>
    <w:rsid w:val="0036098F"/>
    <w:rsid w:val="00367FE2"/>
    <w:rsid w:val="0037238A"/>
    <w:rsid w:val="003724A6"/>
    <w:rsid w:val="003752D6"/>
    <w:rsid w:val="003959FF"/>
    <w:rsid w:val="00395AD9"/>
    <w:rsid w:val="003C0B66"/>
    <w:rsid w:val="003E370D"/>
    <w:rsid w:val="003F030D"/>
    <w:rsid w:val="004017FC"/>
    <w:rsid w:val="0040297D"/>
    <w:rsid w:val="00404D39"/>
    <w:rsid w:val="0040785D"/>
    <w:rsid w:val="0041378A"/>
    <w:rsid w:val="00413DD5"/>
    <w:rsid w:val="0041508A"/>
    <w:rsid w:val="00426AC2"/>
    <w:rsid w:val="00431848"/>
    <w:rsid w:val="00433C1B"/>
    <w:rsid w:val="00437E69"/>
    <w:rsid w:val="0044231D"/>
    <w:rsid w:val="004441E9"/>
    <w:rsid w:val="00445B1D"/>
    <w:rsid w:val="00450496"/>
    <w:rsid w:val="004606A6"/>
    <w:rsid w:val="00461F27"/>
    <w:rsid w:val="00462A65"/>
    <w:rsid w:val="00462DC9"/>
    <w:rsid w:val="00470AC2"/>
    <w:rsid w:val="00472B3E"/>
    <w:rsid w:val="00474B84"/>
    <w:rsid w:val="004774C7"/>
    <w:rsid w:val="00486046"/>
    <w:rsid w:val="00493379"/>
    <w:rsid w:val="004A0835"/>
    <w:rsid w:val="004A73A2"/>
    <w:rsid w:val="004A7B13"/>
    <w:rsid w:val="004B177C"/>
    <w:rsid w:val="004B2D57"/>
    <w:rsid w:val="004B58FC"/>
    <w:rsid w:val="004C631F"/>
    <w:rsid w:val="004D0847"/>
    <w:rsid w:val="004F214E"/>
    <w:rsid w:val="004F3071"/>
    <w:rsid w:val="004F49E4"/>
    <w:rsid w:val="005013E1"/>
    <w:rsid w:val="00503CED"/>
    <w:rsid w:val="0050565F"/>
    <w:rsid w:val="005075AE"/>
    <w:rsid w:val="00512C77"/>
    <w:rsid w:val="00512EFC"/>
    <w:rsid w:val="0051343D"/>
    <w:rsid w:val="00513C13"/>
    <w:rsid w:val="0052273D"/>
    <w:rsid w:val="00544C3D"/>
    <w:rsid w:val="00550663"/>
    <w:rsid w:val="005624C8"/>
    <w:rsid w:val="005747BC"/>
    <w:rsid w:val="00592226"/>
    <w:rsid w:val="00593447"/>
    <w:rsid w:val="00595612"/>
    <w:rsid w:val="00597247"/>
    <w:rsid w:val="005B49E9"/>
    <w:rsid w:val="005B6DC2"/>
    <w:rsid w:val="005C06BF"/>
    <w:rsid w:val="005C120D"/>
    <w:rsid w:val="005C666C"/>
    <w:rsid w:val="00610DF0"/>
    <w:rsid w:val="00612649"/>
    <w:rsid w:val="0063390D"/>
    <w:rsid w:val="006340B1"/>
    <w:rsid w:val="00646771"/>
    <w:rsid w:val="00646B52"/>
    <w:rsid w:val="0065035C"/>
    <w:rsid w:val="006525F7"/>
    <w:rsid w:val="00674B81"/>
    <w:rsid w:val="006A4016"/>
    <w:rsid w:val="006A5299"/>
    <w:rsid w:val="006A5B2E"/>
    <w:rsid w:val="006B4559"/>
    <w:rsid w:val="006C08DA"/>
    <w:rsid w:val="006C3DEC"/>
    <w:rsid w:val="006C6CB4"/>
    <w:rsid w:val="006C7E34"/>
    <w:rsid w:val="006F1860"/>
    <w:rsid w:val="006F7935"/>
    <w:rsid w:val="007018AB"/>
    <w:rsid w:val="007037C5"/>
    <w:rsid w:val="00705558"/>
    <w:rsid w:val="0070700A"/>
    <w:rsid w:val="00725F27"/>
    <w:rsid w:val="00727E94"/>
    <w:rsid w:val="007412D3"/>
    <w:rsid w:val="00747738"/>
    <w:rsid w:val="007615AD"/>
    <w:rsid w:val="0076749E"/>
    <w:rsid w:val="00770567"/>
    <w:rsid w:val="00772453"/>
    <w:rsid w:val="0077440B"/>
    <w:rsid w:val="00790EFA"/>
    <w:rsid w:val="007A01F5"/>
    <w:rsid w:val="007C0D36"/>
    <w:rsid w:val="007C62A5"/>
    <w:rsid w:val="007D1F77"/>
    <w:rsid w:val="007E2FD1"/>
    <w:rsid w:val="007E3E90"/>
    <w:rsid w:val="007F0EAD"/>
    <w:rsid w:val="007F6B8C"/>
    <w:rsid w:val="0080161F"/>
    <w:rsid w:val="00806391"/>
    <w:rsid w:val="00806ABF"/>
    <w:rsid w:val="008132AC"/>
    <w:rsid w:val="00816809"/>
    <w:rsid w:val="00817C94"/>
    <w:rsid w:val="00827746"/>
    <w:rsid w:val="00843469"/>
    <w:rsid w:val="00843ECC"/>
    <w:rsid w:val="0085609C"/>
    <w:rsid w:val="008567CE"/>
    <w:rsid w:val="0086245B"/>
    <w:rsid w:val="008625C5"/>
    <w:rsid w:val="00867B3E"/>
    <w:rsid w:val="008733E9"/>
    <w:rsid w:val="00890C2B"/>
    <w:rsid w:val="00894C4A"/>
    <w:rsid w:val="00894DF1"/>
    <w:rsid w:val="008B1B10"/>
    <w:rsid w:val="008B61C2"/>
    <w:rsid w:val="008C3295"/>
    <w:rsid w:val="008C65B3"/>
    <w:rsid w:val="008C6FB3"/>
    <w:rsid w:val="008D1397"/>
    <w:rsid w:val="008F144F"/>
    <w:rsid w:val="008F40FA"/>
    <w:rsid w:val="008F7520"/>
    <w:rsid w:val="0091065D"/>
    <w:rsid w:val="00945E38"/>
    <w:rsid w:val="0095640A"/>
    <w:rsid w:val="00957E0F"/>
    <w:rsid w:val="00960CD8"/>
    <w:rsid w:val="009639EA"/>
    <w:rsid w:val="00971B44"/>
    <w:rsid w:val="00986008"/>
    <w:rsid w:val="00994197"/>
    <w:rsid w:val="00995DE3"/>
    <w:rsid w:val="009B604D"/>
    <w:rsid w:val="009B7128"/>
    <w:rsid w:val="009C4B3E"/>
    <w:rsid w:val="009C7348"/>
    <w:rsid w:val="009D084D"/>
    <w:rsid w:val="009D4D8E"/>
    <w:rsid w:val="009E09B9"/>
    <w:rsid w:val="009E4F05"/>
    <w:rsid w:val="009E7097"/>
    <w:rsid w:val="009E7EAF"/>
    <w:rsid w:val="009F1A17"/>
    <w:rsid w:val="00A147F7"/>
    <w:rsid w:val="00A16BC4"/>
    <w:rsid w:val="00A34CB0"/>
    <w:rsid w:val="00A549A7"/>
    <w:rsid w:val="00A7008D"/>
    <w:rsid w:val="00A705FE"/>
    <w:rsid w:val="00A72112"/>
    <w:rsid w:val="00A75FDB"/>
    <w:rsid w:val="00A94084"/>
    <w:rsid w:val="00A94209"/>
    <w:rsid w:val="00A95C10"/>
    <w:rsid w:val="00AC3212"/>
    <w:rsid w:val="00AC648F"/>
    <w:rsid w:val="00AD2B42"/>
    <w:rsid w:val="00AF0D54"/>
    <w:rsid w:val="00AF149E"/>
    <w:rsid w:val="00AF54BC"/>
    <w:rsid w:val="00AF6174"/>
    <w:rsid w:val="00B006FD"/>
    <w:rsid w:val="00B0319A"/>
    <w:rsid w:val="00B07CB7"/>
    <w:rsid w:val="00B2096F"/>
    <w:rsid w:val="00B21074"/>
    <w:rsid w:val="00B328D3"/>
    <w:rsid w:val="00B41B45"/>
    <w:rsid w:val="00B43663"/>
    <w:rsid w:val="00B668DD"/>
    <w:rsid w:val="00B676A3"/>
    <w:rsid w:val="00B714BD"/>
    <w:rsid w:val="00B72EFC"/>
    <w:rsid w:val="00B76669"/>
    <w:rsid w:val="00B818E9"/>
    <w:rsid w:val="00B82473"/>
    <w:rsid w:val="00B838E5"/>
    <w:rsid w:val="00B9145A"/>
    <w:rsid w:val="00BA29F6"/>
    <w:rsid w:val="00BB27C8"/>
    <w:rsid w:val="00BB4CC5"/>
    <w:rsid w:val="00BC6BF1"/>
    <w:rsid w:val="00BE185B"/>
    <w:rsid w:val="00BE5F40"/>
    <w:rsid w:val="00BF1B39"/>
    <w:rsid w:val="00BF2A08"/>
    <w:rsid w:val="00C155AC"/>
    <w:rsid w:val="00C242C3"/>
    <w:rsid w:val="00C32D1D"/>
    <w:rsid w:val="00C36303"/>
    <w:rsid w:val="00C45B14"/>
    <w:rsid w:val="00C56258"/>
    <w:rsid w:val="00C57BB4"/>
    <w:rsid w:val="00C84147"/>
    <w:rsid w:val="00C9360E"/>
    <w:rsid w:val="00C953C9"/>
    <w:rsid w:val="00C9624B"/>
    <w:rsid w:val="00CA090C"/>
    <w:rsid w:val="00CA226A"/>
    <w:rsid w:val="00CA6083"/>
    <w:rsid w:val="00CC3C44"/>
    <w:rsid w:val="00CD154C"/>
    <w:rsid w:val="00CF72AE"/>
    <w:rsid w:val="00D11FED"/>
    <w:rsid w:val="00D33BA2"/>
    <w:rsid w:val="00D34BEE"/>
    <w:rsid w:val="00D4655A"/>
    <w:rsid w:val="00D51441"/>
    <w:rsid w:val="00D6183D"/>
    <w:rsid w:val="00D849FF"/>
    <w:rsid w:val="00D84CFC"/>
    <w:rsid w:val="00D91312"/>
    <w:rsid w:val="00DA51D3"/>
    <w:rsid w:val="00DC0708"/>
    <w:rsid w:val="00DC0BBD"/>
    <w:rsid w:val="00DD18D1"/>
    <w:rsid w:val="00DD3367"/>
    <w:rsid w:val="00DD453E"/>
    <w:rsid w:val="00DD7179"/>
    <w:rsid w:val="00DE1BFC"/>
    <w:rsid w:val="00DF1FBB"/>
    <w:rsid w:val="00DF2E78"/>
    <w:rsid w:val="00DF522C"/>
    <w:rsid w:val="00E41EBE"/>
    <w:rsid w:val="00E4729D"/>
    <w:rsid w:val="00E727AC"/>
    <w:rsid w:val="00E73B39"/>
    <w:rsid w:val="00E956AB"/>
    <w:rsid w:val="00EA0A50"/>
    <w:rsid w:val="00EA26CE"/>
    <w:rsid w:val="00EA5DDD"/>
    <w:rsid w:val="00EA71B6"/>
    <w:rsid w:val="00EB4CC5"/>
    <w:rsid w:val="00EB5E85"/>
    <w:rsid w:val="00EC1197"/>
    <w:rsid w:val="00ED0B0C"/>
    <w:rsid w:val="00ED113D"/>
    <w:rsid w:val="00EE790D"/>
    <w:rsid w:val="00EF2F67"/>
    <w:rsid w:val="00F03505"/>
    <w:rsid w:val="00F037D1"/>
    <w:rsid w:val="00F23E04"/>
    <w:rsid w:val="00F240F3"/>
    <w:rsid w:val="00F37035"/>
    <w:rsid w:val="00F40EE7"/>
    <w:rsid w:val="00F60ED6"/>
    <w:rsid w:val="00F62F77"/>
    <w:rsid w:val="00F71F52"/>
    <w:rsid w:val="00F733F9"/>
    <w:rsid w:val="00F75AE6"/>
    <w:rsid w:val="00F77439"/>
    <w:rsid w:val="00F90F21"/>
    <w:rsid w:val="00F94717"/>
    <w:rsid w:val="00F96F09"/>
    <w:rsid w:val="00F97457"/>
    <w:rsid w:val="00FA781E"/>
    <w:rsid w:val="00FC10C2"/>
    <w:rsid w:val="00FD6FEC"/>
    <w:rsid w:val="00FD7728"/>
    <w:rsid w:val="00FE15B4"/>
    <w:rsid w:val="00FE409B"/>
    <w:rsid w:val="00FE76B8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29F2E"/>
  <w15:chartTrackingRefBased/>
  <w15:docId w15:val="{1FFE79AE-697F-41F1-8E27-87797015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A2"/>
    <w:pPr>
      <w:spacing w:after="240"/>
      <w:jc w:val="both"/>
    </w:pPr>
    <w:rPr>
      <w:rFonts w:ascii="Courier New" w:hAnsi="Courier New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10C9"/>
    <w:pPr>
      <w:ind w:left="357" w:hanging="357"/>
    </w:pPr>
    <w:rPr>
      <w:sz w:val="20"/>
    </w:rPr>
  </w:style>
  <w:style w:type="character" w:customStyle="1" w:styleId="FootnoteTextChar">
    <w:name w:val="Footnote Text Char"/>
    <w:link w:val="FootnoteText"/>
    <w:rsid w:val="000B10C9"/>
    <w:rPr>
      <w:rFonts w:ascii="Courier New" w:hAnsi="Courier New"/>
      <w:lang w:eastAsia="en-US"/>
    </w:rPr>
  </w:style>
  <w:style w:type="character" w:styleId="FootnoteReference">
    <w:name w:val="footnote reference"/>
    <w:uiPriority w:val="99"/>
    <w:unhideWhenUsed/>
    <w:rsid w:val="000B10C9"/>
    <w:rPr>
      <w:vertAlign w:val="superscript"/>
    </w:rPr>
  </w:style>
  <w:style w:type="character" w:styleId="Hyperlink">
    <w:name w:val="Hyperlink"/>
    <w:uiPriority w:val="99"/>
    <w:unhideWhenUsed/>
    <w:rsid w:val="000B10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10C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st1">
    <w:name w:val="st1"/>
    <w:rsid w:val="000B10C9"/>
  </w:style>
  <w:style w:type="paragraph" w:customStyle="1" w:styleId="Default">
    <w:name w:val="Default"/>
    <w:rsid w:val="000B10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4423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231D"/>
    <w:rPr>
      <w:rFonts w:ascii="Courier New" w:hAnsi="Courier New"/>
      <w:sz w:val="24"/>
      <w:lang w:val="en-GB"/>
    </w:rPr>
  </w:style>
  <w:style w:type="paragraph" w:styleId="Footer">
    <w:name w:val="footer"/>
    <w:basedOn w:val="Normal"/>
    <w:link w:val="FooterChar"/>
    <w:rsid w:val="004423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231D"/>
    <w:rPr>
      <w:rFonts w:ascii="Courier New" w:hAnsi="Courier New"/>
      <w:sz w:val="24"/>
      <w:lang w:val="en-GB"/>
    </w:rPr>
  </w:style>
  <w:style w:type="character" w:styleId="CommentReference">
    <w:name w:val="annotation reference"/>
    <w:rsid w:val="00FF4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B7A"/>
    <w:rPr>
      <w:sz w:val="20"/>
    </w:rPr>
  </w:style>
  <w:style w:type="character" w:customStyle="1" w:styleId="CommentTextChar">
    <w:name w:val="Comment Text Char"/>
    <w:link w:val="CommentText"/>
    <w:rsid w:val="00FF4B7A"/>
    <w:rPr>
      <w:rFonts w:ascii="Courier New" w:hAnsi="Courier New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4B7A"/>
    <w:rPr>
      <w:b/>
      <w:bCs/>
    </w:rPr>
  </w:style>
  <w:style w:type="character" w:customStyle="1" w:styleId="CommentSubjectChar">
    <w:name w:val="Comment Subject Char"/>
    <w:link w:val="CommentSubject"/>
    <w:rsid w:val="00FF4B7A"/>
    <w:rPr>
      <w:rFonts w:ascii="Courier New" w:hAnsi="Courier New"/>
      <w:b/>
      <w:bCs/>
      <w:lang w:val="en-GB"/>
    </w:rPr>
  </w:style>
  <w:style w:type="paragraph" w:styleId="BalloonText">
    <w:name w:val="Balloon Text"/>
    <w:basedOn w:val="Normal"/>
    <w:link w:val="BalloonTextChar"/>
    <w:rsid w:val="00FF4B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B7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15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lex-kosov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EF99-E56B-4E9D-8E69-AD9D4210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7427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mailto:info@eulex-kosovo.eu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SAVOIA-KELETI Emese (EEAS)</dc:creator>
  <cp:keywords/>
  <cp:lastModifiedBy>Teuta Latifi</cp:lastModifiedBy>
  <cp:revision>14</cp:revision>
  <cp:lastPrinted>2016-09-27T12:01:00Z</cp:lastPrinted>
  <dcterms:created xsi:type="dcterms:W3CDTF">2022-05-23T07:29:00Z</dcterms:created>
  <dcterms:modified xsi:type="dcterms:W3CDTF">2022-05-24T13:20:00Z</dcterms:modified>
</cp:coreProperties>
</file>